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黑体" w:hAnsi="黑体" w:eastAsia="黑体" w:cs="黑体"/>
          <w:position w:val="30"/>
          <w:sz w:val="42"/>
          <w:lang w:eastAsia="zh-CN"/>
        </w:rPr>
        <w:t>皮山县交通运输局</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 xml:space="preserve">第一部分 </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w:t>
      </w:r>
      <w:r>
        <w:rPr>
          <w:rFonts w:hint="eastAsia" w:ascii="黑体" w:hAnsi="黑体" w:eastAsia="黑体" w:cs="黑体"/>
          <w:position w:val="15"/>
          <w:sz w:val="32"/>
          <w:szCs w:val="32"/>
          <w:lang w:eastAsia="zh-CN"/>
        </w:rPr>
        <w:t>年皮山县交通运输局</w:t>
      </w:r>
      <w:r>
        <w:rPr>
          <w:rFonts w:ascii="黑体" w:hAnsi="黑体" w:eastAsia="黑体" w:cs="黑体"/>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一、关</w:t>
      </w:r>
      <w:r>
        <w:rPr>
          <w:rFonts w:hint="eastAsia" w:ascii="仿宋" w:hAnsi="仿宋" w:eastAsia="仿宋" w:cs="仿宋"/>
          <w:position w:val="10"/>
          <w:sz w:val="32"/>
          <w:szCs w:val="32"/>
          <w:lang w:eastAsia="zh-CN"/>
        </w:rPr>
        <w:t>于皮山县交通运输局</w:t>
      </w:r>
      <w:r>
        <w:rPr>
          <w:rFonts w:ascii="仿宋" w:hAnsi="仿宋" w:eastAsia="仿宋" w:cs="仿宋"/>
          <w:position w:val="10"/>
          <w:sz w:val="32"/>
          <w:szCs w:val="32"/>
        </w:rPr>
        <w:t>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二、关于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三、关于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四、关于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五、关于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六、关于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七、关于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八、关于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2023年政府性基金预算</w:t>
      </w:r>
      <w:r>
        <w:rPr>
          <w:rFonts w:hint="eastAsia" w:ascii="仿宋" w:hAnsi="仿宋" w:eastAsia="仿宋" w:cs="仿宋"/>
          <w:position w:val="10"/>
          <w:sz w:val="32"/>
          <w:szCs w:val="32"/>
          <w:lang w:val="en-US" w:eastAsia="zh-CN"/>
        </w:rPr>
        <w:t xml:space="preserve"> </w:t>
      </w:r>
      <w:r>
        <w:rPr>
          <w:rFonts w:ascii="仿宋" w:hAnsi="仿宋" w:eastAsia="仿宋" w:cs="仿宋"/>
          <w:position w:val="10"/>
          <w:sz w:val="32"/>
          <w:szCs w:val="32"/>
        </w:rPr>
        <w:t>拨款情况说明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九、关于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316" w:leftChars="322" w:right="200" w:hanging="640" w:hangingChars="200"/>
        <w:jc w:val="both"/>
        <w:textAlignment w:val="auto"/>
        <w:outlineLvl w:val="9"/>
        <w:rPr>
          <w:sz w:val="32"/>
          <w:szCs w:val="32"/>
        </w:rPr>
      </w:pPr>
      <w:r>
        <w:rPr>
          <w:rFonts w:ascii="仿宋" w:hAnsi="仿宋" w:eastAsia="仿宋" w:cs="仿宋"/>
          <w:position w:val="10"/>
          <w:sz w:val="32"/>
          <w:szCs w:val="32"/>
        </w:rPr>
        <w:t>十、关于</w:t>
      </w:r>
      <w:r>
        <w:rPr>
          <w:rFonts w:hint="eastAsia" w:ascii="仿宋" w:hAnsi="仿宋" w:eastAsia="仿宋" w:cs="仿宋"/>
          <w:position w:val="10"/>
          <w:sz w:val="32"/>
          <w:szCs w:val="32"/>
          <w:lang w:eastAsia="zh-CN"/>
        </w:rPr>
        <w:t>皮山县交通运输局</w:t>
      </w:r>
      <w:r>
        <w:rPr>
          <w:rFonts w:ascii="仿宋" w:hAnsi="仿宋" w:eastAsia="仿宋" w:cs="仿宋"/>
          <w:position w:val="10"/>
          <w:sz w:val="32"/>
          <w:szCs w:val="32"/>
        </w:rPr>
        <w:t>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sectPr>
          <w:cols w:space="720" w:num="1"/>
        </w:sectPr>
      </w:pPr>
    </w:p>
    <w:p>
      <w:pPr>
        <w:ind w:right="200" w:firstLine="3360" w:firstLineChars="800"/>
        <w:jc w:val="both"/>
      </w:pPr>
      <w:r>
        <w:rPr>
          <w:rFonts w:ascii="黑体" w:hAnsi="黑体" w:eastAsia="黑体" w:cs="黑体"/>
          <w:position w:val="30"/>
          <w:sz w:val="42"/>
        </w:rPr>
        <w:t xml:space="preserve">第一部分 </w:t>
      </w:r>
      <w:r>
        <w:rPr>
          <w:rFonts w:hint="eastAsia" w:ascii="黑体" w:hAnsi="黑体" w:eastAsia="黑体" w:cs="黑体"/>
          <w:position w:val="30"/>
          <w:sz w:val="42"/>
          <w:lang w:eastAsia="zh-CN"/>
        </w:rPr>
        <w:t>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(一)贯彻执行国家、自治区和地区有关公路交通运输的方针、政策、法规，并组织实施和监督。</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(二)编制本行政区域内公路交通运输发展规划；制定公路交通规划中长期计划和年度计划，并组织实施。承担公路建设市场监管责任，权限</w:t>
      </w:r>
      <w:r>
        <w:rPr>
          <w:rFonts w:hint="eastAsia" w:ascii="仿宋" w:hAnsi="仿宋" w:eastAsia="仿宋" w:cs="仿宋"/>
          <w:position w:val="10"/>
          <w:sz w:val="32"/>
          <w:szCs w:val="32"/>
          <w:lang w:eastAsia="zh-CN"/>
        </w:rPr>
        <w:t>内设立</w:t>
      </w:r>
      <w:r>
        <w:rPr>
          <w:rFonts w:ascii="仿宋" w:hAnsi="仿宋" w:eastAsia="仿宋" w:cs="仿宋"/>
          <w:position w:val="10"/>
          <w:sz w:val="32"/>
          <w:szCs w:val="32"/>
        </w:rPr>
        <w:t>施工许可，组织协调公路运输有关重点工程建设和质量管理工作。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(三)负责农村公路的建设(一般农村公路及桥 梁的项目申请、勘察设计、招投标、施工、质量评定及 竣工验收)和管理，指导本行政区域内农村公路(一般 农村公路和重点农村公路)养护工作，在公路及公路用 地范围内设置非公路标志审批及铁轮车、履带车和其他 可能损害公路路面的机具上路的许可。依法保护公路路 产路权，协同有关部门做好公路环保工作。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(四)会同有关部门培育和管理交通运输市场和交通基础设施建设市场，维护本行政区域内交通运输行业平等竞争</w:t>
      </w:r>
      <w:r>
        <w:rPr>
          <w:rFonts w:hint="eastAsia" w:ascii="仿宋" w:hAnsi="仿宋" w:eastAsia="仿宋" w:cs="仿宋"/>
          <w:position w:val="10"/>
          <w:sz w:val="32"/>
          <w:szCs w:val="32"/>
          <w:lang w:eastAsia="zh-CN"/>
        </w:rPr>
        <w:t>秩序</w:t>
      </w:r>
      <w:r>
        <w:rPr>
          <w:rFonts w:ascii="仿宋" w:hAnsi="仿宋" w:eastAsia="仿宋" w:cs="仿宋"/>
          <w:position w:val="1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(五)指导协调本行政区域公路运输市场监管，指导客货运输汽车维修市场、车辆技术检测、汽车驾驶学校和驾驶员培训、权限内超限运输车辆行驶公路的审批等工 作的行业管理。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指导城乡客运以及有关设施的规划和管理工作，指导城市公交车和出租车行业管理，出租汽车经营资格证、车辆运营证和驾驶员客运资格证的核发。按规定承担有关物流的政策实施和宏观调控；负责统筹城乡交通运输协调发展和城乡交通运输一体化。负责公路运输行业的安全生产、应急管理及监督管理和交通运输统计工作，公路运输行业的生产经营状况，营 运车辆的管理与统计，组织开展道路运输，城市客运行业经济运行分析。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(七)负责交通行业的法制宣传，交通行政复议工作，实行依法</w:t>
      </w:r>
      <w:r>
        <w:rPr>
          <w:rFonts w:hint="eastAsia" w:ascii="仿宋" w:hAnsi="仿宋" w:eastAsia="仿宋" w:cs="仿宋"/>
          <w:position w:val="10"/>
          <w:sz w:val="32"/>
          <w:szCs w:val="32"/>
          <w:lang w:eastAsia="zh-CN"/>
        </w:rPr>
        <w:t>治</w:t>
      </w:r>
      <w:r>
        <w:rPr>
          <w:rFonts w:ascii="仿宋" w:hAnsi="仿宋" w:eastAsia="仿宋" w:cs="仿宋"/>
          <w:position w:val="10"/>
          <w:sz w:val="32"/>
          <w:szCs w:val="32"/>
        </w:rPr>
        <w:t>路，继续</w:t>
      </w:r>
      <w:r>
        <w:rPr>
          <w:rFonts w:hint="eastAsia" w:ascii="仿宋" w:hAnsi="仿宋" w:eastAsia="仿宋" w:cs="仿宋"/>
          <w:position w:val="10"/>
          <w:sz w:val="32"/>
          <w:szCs w:val="32"/>
          <w:lang w:eastAsia="zh-CN"/>
        </w:rPr>
        <w:t>发挥</w:t>
      </w:r>
      <w:r>
        <w:rPr>
          <w:rFonts w:ascii="仿宋" w:hAnsi="仿宋" w:eastAsia="仿宋" w:cs="仿宋"/>
          <w:position w:val="10"/>
          <w:sz w:val="32"/>
          <w:szCs w:val="32"/>
        </w:rPr>
        <w:t>治理公路“三乱”的拳头作用，保障公路畅通。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(八)负责本辖区内县、乡、村级道路农村公路路政行政执法、公路工程质量监督行政执法和道路运输、地方海事领域的行政执法工作。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(九)负责本辖区水上航区监管、船舶管理、船员管理、船载危险货物、船舶防污染管理，船舶处理</w:t>
      </w:r>
      <w:r>
        <w:rPr>
          <w:rFonts w:hint="eastAsia" w:ascii="仿宋" w:hAnsi="仿宋" w:eastAsia="仿宋" w:cs="仿宋"/>
          <w:position w:val="10"/>
          <w:sz w:val="32"/>
          <w:szCs w:val="32"/>
          <w:lang w:eastAsia="zh-CN"/>
        </w:rPr>
        <w:t>水体</w:t>
      </w:r>
      <w:r>
        <w:rPr>
          <w:rFonts w:ascii="仿宋" w:hAnsi="仿宋" w:eastAsia="仿宋" w:cs="仿宋"/>
          <w:position w:val="10"/>
          <w:sz w:val="32"/>
          <w:szCs w:val="32"/>
        </w:rPr>
        <w:t>设施的法定检验工作。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(十)负责本辖区水上水下工程施工的监督管理。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(十一)承办</w:t>
      </w:r>
      <w:r>
        <w:rPr>
          <w:rFonts w:hint="eastAsia" w:ascii="仿宋" w:hAnsi="仿宋" w:eastAsia="仿宋" w:cs="仿宋"/>
          <w:position w:val="10"/>
          <w:sz w:val="32"/>
          <w:szCs w:val="32"/>
          <w:lang w:val="en-US" w:eastAsia="zh-CN"/>
        </w:rPr>
        <w:t>皮山县委、县政府</w:t>
      </w:r>
      <w:r>
        <w:rPr>
          <w:rFonts w:ascii="仿宋" w:hAnsi="仿宋" w:eastAsia="仿宋" w:cs="仿宋"/>
          <w:position w:val="10"/>
          <w:sz w:val="32"/>
          <w:szCs w:val="32"/>
        </w:rPr>
        <w:t>交办及上级业务主管部门的其他事项。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皮山县交通运输局无下属预算单位，下设5个科室，分别是：局办公室、财务室、项目办、交通综合执 法大队、综合办。</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皮山县交通运输局单位编制数19，实有人数23人，其中：在职18人，增加0人；退休5人，增加0人；离休0人，增加0人。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347.51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2050.39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849.57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7553.79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6229.92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6229.92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6229.92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8627.82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8627.82</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1"/>
        <w:gridCol w:w="282"/>
        <w:gridCol w:w="236"/>
        <w:gridCol w:w="811"/>
        <w:gridCol w:w="596"/>
        <w:gridCol w:w="840"/>
        <w:gridCol w:w="638"/>
        <w:gridCol w:w="1009"/>
        <w:gridCol w:w="439"/>
        <w:gridCol w:w="676"/>
        <w:gridCol w:w="473"/>
        <w:gridCol w:w="777"/>
        <w:gridCol w:w="203"/>
        <w:gridCol w:w="203"/>
        <w:gridCol w:w="800"/>
        <w:gridCol w:w="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13" w:type="dxa"/>
            <w:gridSpan w:val="8"/>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3587"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47"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43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6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115"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2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40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81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811" w:type="dxa"/>
            <w:vMerge w:val="continue"/>
          </w:tcPr>
          <w:p/>
        </w:tc>
        <w:tc>
          <w:tcPr>
            <w:tcW w:w="596" w:type="dxa"/>
            <w:vMerge w:val="continue"/>
          </w:tcP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203" w:type="dxa"/>
            <w:vMerge w:val="continue"/>
          </w:tcPr>
          <w:p/>
        </w:tc>
        <w:tc>
          <w:tcPr>
            <w:tcW w:w="203" w:type="dxa"/>
            <w:vMerge w:val="continue"/>
          </w:tcPr>
          <w:p/>
        </w:tc>
        <w:tc>
          <w:tcPr>
            <w:tcW w:w="800" w:type="dxa"/>
            <w:vMerge w:val="continue"/>
          </w:tcPr>
          <w:p/>
        </w:tc>
        <w:tc>
          <w:tcPr>
            <w:tcW w:w="1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污染减排</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减排专项支出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849.57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849.57</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42</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农村道路建设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485.52</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485.52</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农村基础设施建设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360.33</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360.33</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125.19</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125.19</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7553.79</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2350.54</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2050.39</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5203.25</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公路水路运输</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1702.76</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1000.54</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700.39</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702.22</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公路建设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283.8</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283.8</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公路养护</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1118.81</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700.39</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700.39</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418.42</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车辆购置税支出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5789.07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4439.07</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车辆购置税用于公路等基础设施建设支出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4439.07</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4439.07</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车辆购置税用于农村公路建设支出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其他交通运输支出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61.96</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61.96</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公共交通运营补助</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5.98</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5.98</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其他交通运输支出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55.98</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55.98</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rPr>
                <w:sz w:val="20"/>
                <w:szCs w:val="21"/>
              </w:rPr>
            </w:pPr>
            <w:r>
              <w:rPr>
                <w:rFonts w:ascii="仿宋" w:hAnsi="仿宋" w:eastAsia="仿宋" w:cs="仿宋"/>
                <w:position w:val="8"/>
                <w:sz w:val="18"/>
                <w:szCs w:val="21"/>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8627.82</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2397.90</w:t>
            </w:r>
          </w:p>
        </w:tc>
        <w:tc>
          <w:tcPr>
            <w:tcW w:w="6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347.51</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2050.39</w:t>
            </w:r>
          </w:p>
        </w:tc>
        <w:tc>
          <w:tcPr>
            <w:tcW w:w="43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6229.92</w:t>
            </w:r>
          </w:p>
        </w:tc>
        <w:tc>
          <w:tcPr>
            <w:tcW w:w="1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22"/>
        <w:gridCol w:w="1487"/>
        <w:gridCol w:w="236"/>
        <w:gridCol w:w="1453"/>
        <w:gridCol w:w="1453"/>
        <w:gridCol w:w="596"/>
        <w:gridCol w:w="767"/>
        <w:gridCol w:w="7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9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3602"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9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60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48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3738"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7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78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906" w:type="dxa"/>
            <w:gridSpan w:val="2"/>
            <w:vMerge w:val="continue"/>
          </w:tcPr>
          <w:p/>
        </w:tc>
        <w:tc>
          <w:tcPr>
            <w:tcW w:w="596" w:type="dxa"/>
            <w:vMerge w:val="continue"/>
          </w:tcPr>
          <w:p/>
        </w:tc>
        <w:tc>
          <w:tcPr>
            <w:tcW w:w="767" w:type="dxa"/>
            <w:vMerge w:val="continue"/>
          </w:tcPr>
          <w:p/>
        </w:tc>
        <w:tc>
          <w:tcPr>
            <w:tcW w:w="78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污染减排</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减排专项支出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149.04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849.57</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849.57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42</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农村道路建设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364.05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485.52</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485.52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农村基础设施建设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360.33</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360.33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125.19</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125.19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7553.79</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7253.64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公路水路运输</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1702.76</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1402.61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公路建设</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283.8</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公路养护</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1118.81</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1118.81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车辆购置税支出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5789.07</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5789.07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车辆购置税用于公路等基础设施建设支出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4439.07</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4439.07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车辆购置税用于农村公路建设支出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61.96</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61.96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公共交通运营补助</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5.98</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其他交通运输支出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55.98</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0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8627.82</w:t>
            </w:r>
          </w:p>
        </w:tc>
        <w:tc>
          <w:tcPr>
            <w:tcW w:w="7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347.51</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8280.31</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27"/>
        <w:gridCol w:w="63"/>
        <w:gridCol w:w="573"/>
        <w:gridCol w:w="901"/>
        <w:gridCol w:w="236"/>
        <w:gridCol w:w="1405"/>
        <w:gridCol w:w="225"/>
        <w:gridCol w:w="748"/>
        <w:gridCol w:w="432"/>
        <w:gridCol w:w="363"/>
        <w:gridCol w:w="233"/>
        <w:gridCol w:w="637"/>
        <w:gridCol w:w="154"/>
        <w:gridCol w:w="80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4"/>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4"/>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30" w:type="dxa"/>
            <w:gridSpan w:val="7"/>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3370" w:type="dxa"/>
            <w:gridSpan w:val="7"/>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3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3370"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63" w:hRule="atLeast"/>
        </w:trPr>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2350.54</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2350.54</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5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w:t>
            </w:r>
          </w:p>
        </w:tc>
        <w:tc>
          <w:tcPr>
            <w:tcW w:w="2767"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w:t>
            </w:r>
          </w:p>
        </w:tc>
        <w:tc>
          <w:tcPr>
            <w:tcW w:w="79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w:t>
            </w:r>
          </w:p>
        </w:tc>
        <w:tc>
          <w:tcPr>
            <w:tcW w:w="87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957"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4"/>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4"/>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5"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3595"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5"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595"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537"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3642" w:type="dxa"/>
            <w:gridSpan w:val="7"/>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791"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8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10" w:type="dxa"/>
            <w:gridSpan w:val="4"/>
            <w:vMerge w:val="continue"/>
          </w:tcPr>
          <w:p/>
        </w:tc>
        <w:tc>
          <w:tcPr>
            <w:tcW w:w="596" w:type="dxa"/>
            <w:gridSpan w:val="2"/>
            <w:vMerge w:val="continue"/>
          </w:tcPr>
          <w:p/>
        </w:tc>
        <w:tc>
          <w:tcPr>
            <w:tcW w:w="791" w:type="dxa"/>
            <w:gridSpan w:val="2"/>
            <w:vMerge w:val="continue"/>
          </w:tcPr>
          <w:p/>
        </w:tc>
        <w:tc>
          <w:tcPr>
            <w:tcW w:w="80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47.36</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交通运输支出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2350.54</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2050.39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公路水路运输</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1000.54</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300.15</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公路养护</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700.39</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车辆购置税支出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车辆购置税用于农村公路建设支出</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2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37"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1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9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2397.90</w:t>
            </w:r>
          </w:p>
        </w:tc>
        <w:tc>
          <w:tcPr>
            <w:tcW w:w="79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347.51</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2050.39</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57"/>
        <w:gridCol w:w="1657"/>
        <w:gridCol w:w="2872"/>
        <w:gridCol w:w="522"/>
        <w:gridCol w:w="846"/>
        <w:gridCol w:w="8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86"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221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8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21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3394"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872" w:type="dxa"/>
            <w:vMerge w:val="continue"/>
          </w:tcPr>
          <w:p/>
        </w:tc>
        <w:tc>
          <w:tcPr>
            <w:tcW w:w="522" w:type="dxa"/>
            <w:vMerge w:val="continue"/>
          </w:tcPr>
          <w:p/>
        </w:tc>
        <w:tc>
          <w:tcPr>
            <w:tcW w:w="846" w:type="dxa"/>
            <w:vMerge w:val="continue"/>
          </w:tcPr>
          <w:p/>
        </w:tc>
        <w:tc>
          <w:tcPr>
            <w:tcW w:w="84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314.23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314.23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76.32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76.32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93.87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30.14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30.14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21.14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12.14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12.14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347.51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328.31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19.2</w:t>
            </w:r>
          </w:p>
        </w:tc>
      </w:tr>
    </w:tbl>
    <w:p>
      <w:pPr>
        <w:sectPr>
          <w:cols w:space="720" w:num="1"/>
        </w:sectPr>
      </w:pPr>
      <w:r>
        <w:br w:type="textWrapping"/>
      </w:r>
    </w:p>
    <w:tbl>
      <w:tblPr>
        <w:tblStyle w:val="3"/>
        <w:tblW w:w="9540" w:type="dxa"/>
        <w:tblInd w:w="-360" w:type="dxa"/>
        <w:tblLayout w:type="fixed"/>
        <w:tblCellMar>
          <w:top w:w="0" w:type="dxa"/>
          <w:left w:w="108" w:type="dxa"/>
          <w:bottom w:w="0" w:type="dxa"/>
          <w:right w:w="108" w:type="dxa"/>
        </w:tblCellMar>
      </w:tblPr>
      <w:tblGrid>
        <w:gridCol w:w="8"/>
        <w:gridCol w:w="409"/>
        <w:gridCol w:w="417"/>
        <w:gridCol w:w="417"/>
        <w:gridCol w:w="891"/>
        <w:gridCol w:w="1514"/>
        <w:gridCol w:w="555"/>
        <w:gridCol w:w="110"/>
        <w:gridCol w:w="45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hint="eastAsia" w:ascii="仿宋_GB2312" w:hAnsi="宋体" w:eastAsia="仿宋_GB2312"/>
                <w:b/>
                <w:kern w:val="0"/>
                <w:sz w:val="32"/>
                <w:szCs w:val="32"/>
                <w:highlight w:val="none"/>
              </w:rPr>
            </w:pPr>
          </w:p>
          <w:p>
            <w:pPr>
              <w:widowControl/>
              <w:jc w:val="center"/>
              <w:rPr>
                <w:rFonts w:hint="eastAsia" w:ascii="方正小标宋_GBK" w:hAnsi="方正小标宋_GBK" w:eastAsia="方正小标宋_GBK" w:cs="方正小标宋_GBK"/>
                <w:b w:val="0"/>
                <w:bCs w:val="0"/>
                <w:color w:val="000000"/>
                <w:kern w:val="0"/>
                <w:sz w:val="32"/>
                <w:szCs w:val="32"/>
                <w:highlight w:val="none"/>
              </w:rPr>
            </w:pPr>
            <w:r>
              <w:rPr>
                <w:rFonts w:hint="eastAsia" w:ascii="仿宋_GB2312" w:hAnsi="宋体" w:eastAsia="仿宋_GB2312"/>
                <w:b/>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left"/>
              <w:rPr>
                <w:rFonts w:hint="eastAsia" w:ascii="仿宋_GB2312" w:hAnsi="宋体" w:eastAsia="仿宋_GB2312" w:cs="宋体"/>
                <w:color w:val="000000"/>
                <w:kern w:val="0"/>
                <w:sz w:val="24"/>
                <w:highlight w:val="none"/>
                <w:lang w:eastAsia="zh-CN"/>
              </w:rPr>
            </w:pPr>
            <w:r>
              <w:rPr>
                <w:rFonts w:hint="eastAsia" w:ascii="仿宋_GB2312" w:hAnsi="宋体" w:eastAsia="仿宋_GB2312" w:cs="宋体"/>
                <w:color w:val="000000"/>
                <w:kern w:val="0"/>
                <w:sz w:val="24"/>
                <w:highlight w:val="none"/>
              </w:rPr>
              <w:t>编制部门：</w:t>
            </w:r>
            <w:r>
              <w:rPr>
                <w:rFonts w:hint="eastAsia" w:ascii="仿宋_GB2312" w:hAnsi="宋体" w:eastAsia="仿宋_GB2312" w:cs="宋体"/>
                <w:color w:val="000000"/>
                <w:kern w:val="0"/>
                <w:sz w:val="24"/>
                <w:highlight w:val="none"/>
                <w:lang w:eastAsia="zh-CN"/>
              </w:rPr>
              <w:t>皮山县交通运输局</w:t>
            </w:r>
          </w:p>
        </w:tc>
        <w:tc>
          <w:tcPr>
            <w:tcW w:w="981"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科 目 编 码</w:t>
            </w:r>
          </w:p>
        </w:tc>
        <w:tc>
          <w:tcPr>
            <w:tcW w:w="891" w:type="dxa"/>
            <w:vMerge w:val="restart"/>
            <w:vAlign w:val="center"/>
          </w:tcPr>
          <w:p>
            <w:pPr>
              <w:widowControl/>
              <w:jc w:val="center"/>
              <w:outlineLvl w:val="1"/>
              <w:rPr>
                <w:rFonts w:hint="eastAsia" w:ascii="仿宋_GB2312" w:hAnsi="宋体" w:eastAsia="仿宋_GB2312"/>
                <w:b/>
                <w:color w:val="000000"/>
                <w:kern w:val="0"/>
                <w:sz w:val="20"/>
                <w:szCs w:val="20"/>
                <w:highlight w:val="none"/>
              </w:rPr>
            </w:pPr>
            <w:r>
              <w:rPr>
                <w:rFonts w:hint="eastAsia" w:ascii="仿宋_GB2312" w:hAnsi="宋体" w:eastAsia="仿宋_GB2312"/>
                <w:b/>
                <w:color w:val="000000"/>
                <w:kern w:val="0"/>
                <w:sz w:val="20"/>
                <w:szCs w:val="20"/>
                <w:highlight w:val="none"/>
              </w:rPr>
              <w:t>科目</w:t>
            </w:r>
          </w:p>
          <w:p>
            <w:pPr>
              <w:widowControl/>
              <w:jc w:val="center"/>
              <w:outlineLvl w:val="1"/>
              <w:rPr>
                <w:rFonts w:hint="eastAsia" w:ascii="仿宋_GB2312" w:hAnsi="宋体" w:eastAsia="仿宋_GB2312"/>
                <w:b/>
                <w:kern w:val="0"/>
                <w:sz w:val="20"/>
                <w:szCs w:val="20"/>
                <w:highlight w:val="none"/>
                <w:lang w:eastAsia="zh-CN"/>
              </w:rPr>
            </w:pPr>
            <w:r>
              <w:rPr>
                <w:rFonts w:hint="eastAsia" w:ascii="仿宋_GB2312" w:hAnsi="宋体" w:eastAsia="仿宋_GB2312"/>
                <w:b/>
                <w:color w:val="000000"/>
                <w:kern w:val="0"/>
                <w:sz w:val="20"/>
                <w:szCs w:val="20"/>
                <w:highlight w:val="none"/>
                <w:lang w:eastAsia="zh-CN"/>
              </w:rPr>
              <w:t>名称</w:t>
            </w:r>
          </w:p>
        </w:tc>
        <w:tc>
          <w:tcPr>
            <w:tcW w:w="1514" w:type="dxa"/>
            <w:vMerge w:val="restart"/>
            <w:vAlign w:val="center"/>
          </w:tcPr>
          <w:p>
            <w:pPr>
              <w:jc w:val="center"/>
              <w:rPr>
                <w:rFonts w:ascii="Calibri" w:hAnsi="Calibri"/>
                <w:sz w:val="20"/>
                <w:szCs w:val="20"/>
                <w:highlight w:val="none"/>
              </w:rPr>
            </w:pPr>
            <w:r>
              <w:rPr>
                <w:rFonts w:hint="eastAsia" w:ascii="仿宋_GB2312" w:hAnsi="宋体" w:eastAsia="仿宋_GB2312"/>
                <w:b/>
                <w:kern w:val="0"/>
                <w:sz w:val="20"/>
                <w:szCs w:val="20"/>
                <w:highlight w:val="none"/>
              </w:rPr>
              <w:t>项目名称</w:t>
            </w:r>
          </w:p>
        </w:tc>
        <w:tc>
          <w:tcPr>
            <w:tcW w:w="555"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项目支出合计</w:t>
            </w:r>
          </w:p>
        </w:tc>
        <w:tc>
          <w:tcPr>
            <w:tcW w:w="561"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r>
              <w:rPr>
                <w:rFonts w:hint="eastAsia" w:ascii="仿宋_GB2312" w:hAnsi="宋体" w:eastAsia="仿宋_GB2312"/>
                <w:b/>
                <w:kern w:val="0"/>
                <w:sz w:val="20"/>
                <w:szCs w:val="20"/>
                <w:highlight w:val="none"/>
              </w:rPr>
              <w:t>项</w:t>
            </w:r>
          </w:p>
        </w:tc>
        <w:tc>
          <w:tcPr>
            <w:tcW w:w="891"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highlight w:val="none"/>
              </w:rPr>
            </w:pPr>
          </w:p>
        </w:tc>
        <w:tc>
          <w:tcPr>
            <w:tcW w:w="1514"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555"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561" w:type="dxa"/>
            <w:gridSpan w:val="2"/>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214</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01</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06</w:t>
            </w:r>
          </w:p>
        </w:tc>
        <w:tc>
          <w:tcPr>
            <w:tcW w:w="891"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公路养护</w:t>
            </w:r>
          </w:p>
        </w:tc>
        <w:tc>
          <w:tcPr>
            <w:tcW w:w="1514"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2023年中央对地方成品油税费改革转移支付预算-和地财建</w:t>
            </w:r>
            <w:r>
              <w:rPr>
                <w:rFonts w:hint="eastAsia" w:ascii="仿宋" w:hAnsi="仿宋" w:eastAsia="仿宋" w:cs="仿宋"/>
                <w:position w:val="8"/>
                <w:sz w:val="18"/>
                <w:szCs w:val="21"/>
                <w:lang w:eastAsia="zh-CN"/>
              </w:rPr>
              <w:t>〔2022〕107号</w:t>
            </w:r>
          </w:p>
        </w:tc>
        <w:tc>
          <w:tcPr>
            <w:tcW w:w="555"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700.39</w:t>
            </w:r>
          </w:p>
        </w:tc>
        <w:tc>
          <w:tcPr>
            <w:tcW w:w="561"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700.39</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214</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01</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06</w:t>
            </w:r>
          </w:p>
        </w:tc>
        <w:tc>
          <w:tcPr>
            <w:tcW w:w="891"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公路养护</w:t>
            </w:r>
          </w:p>
        </w:tc>
        <w:tc>
          <w:tcPr>
            <w:tcW w:w="1514"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2023年政府还贷二级公路取消收费后补助资金用于国省干线和农村公路养护资金-和地财建</w:t>
            </w:r>
            <w:r>
              <w:rPr>
                <w:rFonts w:hint="eastAsia" w:ascii="仿宋" w:hAnsi="仿宋" w:eastAsia="仿宋" w:cs="仿宋"/>
                <w:position w:val="8"/>
                <w:sz w:val="18"/>
                <w:szCs w:val="21"/>
                <w:lang w:eastAsia="zh-CN"/>
              </w:rPr>
              <w:t>〔2022〕99号</w:t>
            </w:r>
          </w:p>
        </w:tc>
        <w:tc>
          <w:tcPr>
            <w:tcW w:w="555"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412.00</w:t>
            </w:r>
          </w:p>
        </w:tc>
        <w:tc>
          <w:tcPr>
            <w:tcW w:w="561"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412.00</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214</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06</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 xml:space="preserve"> </w:t>
            </w:r>
          </w:p>
        </w:tc>
        <w:tc>
          <w:tcPr>
            <w:tcW w:w="891"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车辆购置税支出</w:t>
            </w:r>
          </w:p>
        </w:tc>
        <w:tc>
          <w:tcPr>
            <w:tcW w:w="1514"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 xml:space="preserve"> </w:t>
            </w:r>
          </w:p>
        </w:tc>
        <w:tc>
          <w:tcPr>
            <w:tcW w:w="555"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288.39</w:t>
            </w:r>
          </w:p>
        </w:tc>
        <w:tc>
          <w:tcPr>
            <w:tcW w:w="561"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288.39</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214</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06</w:t>
            </w:r>
          </w:p>
        </w:tc>
        <w:tc>
          <w:tcPr>
            <w:tcW w:w="417" w:type="dxa"/>
            <w:shd w:val="clear" w:color="auto" w:fill="auto"/>
            <w:vAlign w:val="center"/>
          </w:tcPr>
          <w:p>
            <w:pPr>
              <w:ind w:left="30" w:leftChars="0"/>
              <w:jc w:val="left"/>
              <w:rPr>
                <w:rFonts w:ascii="Times New Roman" w:hAnsi="Times New Roman" w:eastAsia="宋体" w:cs="Times New Roman"/>
                <w:kern w:val="2"/>
                <w:sz w:val="21"/>
                <w:szCs w:val="24"/>
                <w:lang w:val="en-US" w:eastAsia="zh-CN" w:bidi="ar-SA"/>
              </w:rPr>
            </w:pPr>
            <w:r>
              <w:rPr>
                <w:rFonts w:ascii="仿宋" w:hAnsi="仿宋" w:eastAsia="仿宋" w:cs="仿宋"/>
                <w:position w:val="8"/>
                <w:sz w:val="20"/>
              </w:rPr>
              <w:t>02</w:t>
            </w:r>
          </w:p>
        </w:tc>
        <w:tc>
          <w:tcPr>
            <w:tcW w:w="891"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车辆购置税用于农村公路建设支出</w:t>
            </w:r>
          </w:p>
        </w:tc>
        <w:tc>
          <w:tcPr>
            <w:tcW w:w="1514" w:type="dxa"/>
            <w:shd w:val="clear" w:color="auto" w:fill="auto"/>
            <w:vAlign w:val="center"/>
          </w:tcPr>
          <w:p>
            <w:pPr>
              <w:ind w:left="30" w:leftChars="0"/>
              <w:jc w:val="left"/>
              <w:rPr>
                <w:rFonts w:ascii="Times New Roman" w:hAnsi="Times New Roman" w:eastAsia="宋体" w:cs="Times New Roman"/>
                <w:kern w:val="2"/>
                <w:sz w:val="20"/>
                <w:szCs w:val="22"/>
                <w:lang w:val="en-US" w:eastAsia="zh-CN" w:bidi="ar-SA"/>
              </w:rPr>
            </w:pPr>
            <w:r>
              <w:rPr>
                <w:rFonts w:ascii="仿宋" w:hAnsi="仿宋" w:eastAsia="仿宋" w:cs="仿宋"/>
                <w:position w:val="8"/>
                <w:sz w:val="18"/>
                <w:szCs w:val="21"/>
              </w:rPr>
              <w:t>2023年车辆购置税收入补助地方资金预算[第一批][普通省道和农村公路以奖代补切块部分]-和地财建</w:t>
            </w:r>
            <w:r>
              <w:rPr>
                <w:rFonts w:hint="eastAsia" w:ascii="仿宋" w:hAnsi="仿宋" w:eastAsia="仿宋" w:cs="仿宋"/>
                <w:position w:val="8"/>
                <w:sz w:val="18"/>
                <w:szCs w:val="21"/>
                <w:lang w:eastAsia="zh-CN"/>
              </w:rPr>
              <w:t>〔2022〕108号</w:t>
            </w:r>
          </w:p>
        </w:tc>
        <w:tc>
          <w:tcPr>
            <w:tcW w:w="555"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1350.00</w:t>
            </w:r>
          </w:p>
        </w:tc>
        <w:tc>
          <w:tcPr>
            <w:tcW w:w="561"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1350.00</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9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514"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55"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1350.00</w:t>
            </w:r>
          </w:p>
        </w:tc>
        <w:tc>
          <w:tcPr>
            <w:tcW w:w="561"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53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39"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618"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9"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1350.00</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17"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891"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1514" w:type="dxa"/>
            <w:vAlign w:val="center"/>
          </w:tcPr>
          <w:p>
            <w:pPr>
              <w:widowControl/>
              <w:jc w:val="center"/>
              <w:outlineLvl w:val="1"/>
              <w:rPr>
                <w:rFonts w:ascii="仿宋_GB2312" w:hAnsi="宋体" w:eastAsia="仿宋_GB2312"/>
                <w:kern w:val="0"/>
                <w:sz w:val="32"/>
                <w:szCs w:val="32"/>
                <w:highlight w:val="none"/>
              </w:rPr>
            </w:pPr>
            <w:r>
              <w:rPr>
                <w:rFonts w:hint="eastAsia" w:ascii="仿宋_GB2312" w:hAnsi="宋体" w:eastAsia="仿宋_GB2312"/>
                <w:b/>
                <w:bCs/>
                <w:kern w:val="0"/>
                <w:sz w:val="20"/>
                <w:szCs w:val="20"/>
                <w:highlight w:val="none"/>
              </w:rPr>
              <w:t>合 计</w:t>
            </w:r>
          </w:p>
        </w:tc>
        <w:tc>
          <w:tcPr>
            <w:tcW w:w="555"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2050.39</w:t>
            </w:r>
          </w:p>
        </w:tc>
        <w:tc>
          <w:tcPr>
            <w:tcW w:w="561" w:type="dxa"/>
            <w:gridSpan w:val="2"/>
            <w:shd w:val="clear" w:color="auto" w:fill="auto"/>
            <w:vAlign w:val="top"/>
          </w:tcPr>
          <w:p>
            <w:pPr>
              <w:widowControl/>
              <w:jc w:val="left"/>
              <w:outlineLvl w:val="1"/>
              <w:rPr>
                <w:rFonts w:ascii="仿宋_GB2312" w:hAnsi="宋体" w:eastAsia="仿宋_GB2312" w:cstheme="minorBidi"/>
                <w:kern w:val="0"/>
                <w:sz w:val="32"/>
                <w:szCs w:val="32"/>
                <w:highlight w:val="none"/>
              </w:rPr>
            </w:pPr>
            <w:r>
              <w:rPr>
                <w:rFonts w:hint="eastAsia" w:ascii="仿宋_GB2312" w:hAnsi="宋体" w:eastAsia="仿宋_GB2312"/>
                <w:kern w:val="0"/>
                <w:sz w:val="32"/>
                <w:szCs w:val="32"/>
                <w:highlight w:val="none"/>
              </w:rPr>
              <w:t>　</w:t>
            </w:r>
          </w:p>
        </w:tc>
        <w:tc>
          <w:tcPr>
            <w:tcW w:w="530" w:type="dxa"/>
            <w:shd w:val="clear" w:color="auto" w:fill="auto"/>
            <w:vAlign w:val="top"/>
          </w:tcPr>
          <w:p>
            <w:pPr>
              <w:widowControl/>
              <w:jc w:val="left"/>
              <w:outlineLvl w:val="1"/>
              <w:rPr>
                <w:rFonts w:ascii="仿宋_GB2312" w:hAnsi="宋体" w:eastAsia="仿宋_GB2312" w:cstheme="minorBidi"/>
                <w:kern w:val="0"/>
                <w:sz w:val="32"/>
                <w:szCs w:val="32"/>
                <w:highlight w:val="none"/>
              </w:rPr>
            </w:pPr>
            <w:r>
              <w:rPr>
                <w:rFonts w:hint="eastAsia" w:ascii="仿宋_GB2312" w:hAnsi="宋体" w:eastAsia="仿宋_GB2312"/>
                <w:kern w:val="0"/>
                <w:sz w:val="32"/>
                <w:szCs w:val="32"/>
                <w:highlight w:val="none"/>
              </w:rPr>
              <w:t>　</w:t>
            </w:r>
          </w:p>
        </w:tc>
        <w:tc>
          <w:tcPr>
            <w:tcW w:w="639" w:type="dxa"/>
            <w:shd w:val="clear" w:color="auto" w:fill="auto"/>
            <w:vAlign w:val="top"/>
          </w:tcPr>
          <w:p>
            <w:pPr>
              <w:widowControl/>
              <w:jc w:val="left"/>
              <w:outlineLvl w:val="1"/>
              <w:rPr>
                <w:rFonts w:ascii="仿宋_GB2312" w:hAnsi="宋体" w:eastAsia="仿宋_GB2312" w:cstheme="minorBidi"/>
                <w:kern w:val="0"/>
                <w:sz w:val="32"/>
                <w:szCs w:val="32"/>
                <w:highlight w:val="none"/>
              </w:rPr>
            </w:pPr>
            <w:r>
              <w:rPr>
                <w:rFonts w:hint="eastAsia" w:ascii="仿宋_GB2312" w:hAnsi="宋体" w:eastAsia="仿宋_GB2312"/>
                <w:kern w:val="0"/>
                <w:sz w:val="32"/>
                <w:szCs w:val="32"/>
                <w:highlight w:val="none"/>
              </w:rPr>
              <w:t>　</w:t>
            </w:r>
          </w:p>
        </w:tc>
        <w:tc>
          <w:tcPr>
            <w:tcW w:w="639" w:type="dxa"/>
            <w:shd w:val="clear" w:color="auto" w:fill="auto"/>
            <w:vAlign w:val="top"/>
          </w:tcPr>
          <w:p>
            <w:pPr>
              <w:widowControl/>
              <w:jc w:val="left"/>
              <w:outlineLvl w:val="1"/>
              <w:rPr>
                <w:rFonts w:ascii="仿宋_GB2312" w:hAnsi="宋体" w:eastAsia="仿宋_GB2312" w:cstheme="minorBidi"/>
                <w:kern w:val="0"/>
                <w:sz w:val="32"/>
                <w:szCs w:val="32"/>
                <w:highlight w:val="none"/>
              </w:rPr>
            </w:pPr>
            <w:r>
              <w:rPr>
                <w:rFonts w:hint="eastAsia" w:ascii="仿宋_GB2312" w:hAnsi="宋体" w:eastAsia="仿宋_GB2312"/>
                <w:kern w:val="0"/>
                <w:sz w:val="32"/>
                <w:szCs w:val="32"/>
                <w:highlight w:val="none"/>
              </w:rPr>
              <w:t>　</w:t>
            </w:r>
          </w:p>
        </w:tc>
        <w:tc>
          <w:tcPr>
            <w:tcW w:w="618" w:type="dxa"/>
            <w:gridSpan w:val="2"/>
            <w:shd w:val="clear" w:color="auto" w:fill="auto"/>
            <w:vAlign w:val="top"/>
          </w:tcPr>
          <w:p>
            <w:pPr>
              <w:widowControl/>
              <w:jc w:val="left"/>
              <w:outlineLvl w:val="1"/>
              <w:rPr>
                <w:rFonts w:ascii="仿宋_GB2312" w:hAnsi="宋体" w:eastAsia="仿宋_GB2312" w:cstheme="minorBidi"/>
                <w:kern w:val="0"/>
                <w:sz w:val="32"/>
                <w:szCs w:val="32"/>
                <w:highlight w:val="none"/>
              </w:rPr>
            </w:pPr>
            <w:r>
              <w:rPr>
                <w:rFonts w:hint="eastAsia" w:ascii="仿宋_GB2312" w:hAnsi="宋体" w:eastAsia="仿宋_GB2312"/>
                <w:kern w:val="0"/>
                <w:sz w:val="32"/>
                <w:szCs w:val="32"/>
                <w:highlight w:val="none"/>
              </w:rPr>
              <w:t>　</w:t>
            </w:r>
          </w:p>
        </w:tc>
        <w:tc>
          <w:tcPr>
            <w:tcW w:w="419" w:type="dxa"/>
            <w:shd w:val="clear" w:color="auto" w:fill="auto"/>
            <w:vAlign w:val="center"/>
          </w:tcPr>
          <w:p>
            <w:pPr>
              <w:ind w:left="30" w:leftChars="0"/>
              <w:jc w:val="right"/>
              <w:rPr>
                <w:rFonts w:ascii="Times New Roman" w:hAnsi="Times New Roman" w:eastAsia="宋体" w:cs="Times New Roman"/>
                <w:kern w:val="2"/>
                <w:sz w:val="21"/>
                <w:szCs w:val="24"/>
                <w:lang w:val="en-US" w:eastAsia="zh-CN" w:bidi="ar-SA"/>
              </w:rPr>
            </w:pPr>
            <w:r>
              <w:rPr>
                <w:rFonts w:ascii="黑体" w:hAnsi="黑体" w:eastAsia="黑体" w:cs="黑体"/>
                <w:position w:val="8"/>
                <w:sz w:val="16"/>
              </w:rPr>
              <w:t>2050.39</w:t>
            </w:r>
          </w:p>
        </w:tc>
        <w:tc>
          <w:tcPr>
            <w:tcW w:w="618"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20" w:type="dxa"/>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c>
          <w:tcPr>
            <w:tcW w:w="465" w:type="dxa"/>
            <w:gridSpan w:val="2"/>
            <w:vAlign w:val="top"/>
          </w:tcPr>
          <w:p>
            <w:pPr>
              <w:widowControl/>
              <w:jc w:val="left"/>
              <w:outlineLvl w:val="1"/>
              <w:rPr>
                <w:rFonts w:ascii="仿宋_GB2312" w:hAnsi="宋体" w:eastAsia="仿宋_GB2312"/>
                <w:kern w:val="0"/>
                <w:sz w:val="32"/>
                <w:szCs w:val="32"/>
                <w:highlight w:val="none"/>
              </w:rPr>
            </w:pPr>
            <w:r>
              <w:rPr>
                <w:rFonts w:hint="eastAsia" w:ascii="仿宋_GB2312" w:hAnsi="宋体" w:eastAsia="仿宋_GB2312"/>
                <w:kern w:val="0"/>
                <w:sz w:val="32"/>
                <w:szCs w:val="32"/>
                <w:highlight w:val="none"/>
              </w:rPr>
              <w:t>　</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37"/>
        <w:gridCol w:w="2146"/>
        <w:gridCol w:w="882"/>
        <w:gridCol w:w="404"/>
        <w:gridCol w:w="404"/>
        <w:gridCol w:w="47"/>
        <w:gridCol w:w="1140"/>
        <w:gridCol w:w="114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69"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2731"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6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3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1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737"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14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808" w:type="dxa"/>
            <w:gridSpan w:val="2"/>
            <w:vMerge w:val="continue"/>
          </w:tcPr>
          <w:p/>
        </w:tc>
        <w:tc>
          <w:tcPr>
            <w:tcW w:w="47" w:type="dxa"/>
            <w:vMerge w:val="continue"/>
          </w:tcPr>
          <w:p/>
        </w:tc>
        <w:tc>
          <w:tcPr>
            <w:tcW w:w="1140" w:type="dxa"/>
            <w:vMerge w:val="continue"/>
          </w:tcPr>
          <w:p/>
        </w:tc>
        <w:tc>
          <w:tcPr>
            <w:tcW w:w="114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4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8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Pr>
          <w:p/>
        </w:tc>
        <w:tc>
          <w:tcPr>
            <w:tcW w:w="2146" w:type="dxa"/>
          </w:tcPr>
          <w:p/>
        </w:tc>
        <w:tc>
          <w:tcPr>
            <w:tcW w:w="882" w:type="dxa"/>
          </w:tcPr>
          <w:p/>
        </w:tc>
        <w:tc>
          <w:tcPr>
            <w:tcW w:w="808" w:type="dxa"/>
            <w:gridSpan w:val="2"/>
          </w:tcPr>
          <w:p/>
        </w:tc>
        <w:tc>
          <w:tcPr>
            <w:tcW w:w="47" w:type="dxa"/>
          </w:tcPr>
          <w:p/>
        </w:tc>
        <w:tc>
          <w:tcPr>
            <w:tcW w:w="1140" w:type="dxa"/>
          </w:tcPr>
          <w:p/>
        </w:tc>
        <w:tc>
          <w:tcPr>
            <w:tcW w:w="114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Pr>
          <w:p/>
        </w:tc>
        <w:tc>
          <w:tcPr>
            <w:tcW w:w="2146" w:type="dxa"/>
          </w:tcPr>
          <w:p/>
        </w:tc>
        <w:tc>
          <w:tcPr>
            <w:tcW w:w="882" w:type="dxa"/>
          </w:tcPr>
          <w:p/>
        </w:tc>
        <w:tc>
          <w:tcPr>
            <w:tcW w:w="808" w:type="dxa"/>
            <w:gridSpan w:val="2"/>
          </w:tcPr>
          <w:p/>
        </w:tc>
        <w:tc>
          <w:tcPr>
            <w:tcW w:w="47" w:type="dxa"/>
          </w:tcPr>
          <w:p/>
        </w:tc>
        <w:tc>
          <w:tcPr>
            <w:tcW w:w="1140" w:type="dxa"/>
          </w:tcPr>
          <w:p/>
        </w:tc>
        <w:tc>
          <w:tcPr>
            <w:tcW w:w="114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Pr>
          <w:p/>
        </w:tc>
        <w:tc>
          <w:tcPr>
            <w:tcW w:w="2146" w:type="dxa"/>
          </w:tcPr>
          <w:p/>
        </w:tc>
        <w:tc>
          <w:tcPr>
            <w:tcW w:w="882" w:type="dxa"/>
          </w:tcPr>
          <w:p/>
        </w:tc>
        <w:tc>
          <w:tcPr>
            <w:tcW w:w="808" w:type="dxa"/>
            <w:gridSpan w:val="2"/>
          </w:tcPr>
          <w:p/>
        </w:tc>
        <w:tc>
          <w:tcPr>
            <w:tcW w:w="47" w:type="dxa"/>
          </w:tcPr>
          <w:p/>
        </w:tc>
        <w:tc>
          <w:tcPr>
            <w:tcW w:w="1140" w:type="dxa"/>
          </w:tcPr>
          <w:p/>
        </w:tc>
        <w:tc>
          <w:tcPr>
            <w:tcW w:w="114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Pr>
          <w:p/>
        </w:tc>
        <w:tc>
          <w:tcPr>
            <w:tcW w:w="2146" w:type="dxa"/>
          </w:tcPr>
          <w:p/>
        </w:tc>
        <w:tc>
          <w:tcPr>
            <w:tcW w:w="882" w:type="dxa"/>
          </w:tcPr>
          <w:p/>
        </w:tc>
        <w:tc>
          <w:tcPr>
            <w:tcW w:w="808" w:type="dxa"/>
            <w:gridSpan w:val="2"/>
          </w:tcPr>
          <w:p/>
        </w:tc>
        <w:tc>
          <w:tcPr>
            <w:tcW w:w="47" w:type="dxa"/>
          </w:tcPr>
          <w:p/>
        </w:tc>
        <w:tc>
          <w:tcPr>
            <w:tcW w:w="1140" w:type="dxa"/>
          </w:tcPr>
          <w:p/>
        </w:tc>
        <w:tc>
          <w:tcPr>
            <w:tcW w:w="114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7" w:type="dxa"/>
          </w:tcPr>
          <w:p/>
        </w:tc>
        <w:tc>
          <w:tcPr>
            <w:tcW w:w="2146" w:type="dxa"/>
          </w:tcPr>
          <w:p/>
        </w:tc>
        <w:tc>
          <w:tcPr>
            <w:tcW w:w="882" w:type="dxa"/>
          </w:tcPr>
          <w:p/>
        </w:tc>
        <w:tc>
          <w:tcPr>
            <w:tcW w:w="808" w:type="dxa"/>
            <w:gridSpan w:val="2"/>
          </w:tcPr>
          <w:p/>
        </w:tc>
        <w:tc>
          <w:tcPr>
            <w:tcW w:w="47" w:type="dxa"/>
          </w:tcPr>
          <w:p/>
        </w:tc>
        <w:tc>
          <w:tcPr>
            <w:tcW w:w="1140" w:type="dxa"/>
          </w:tcPr>
          <w:p/>
        </w:tc>
        <w:tc>
          <w:tcPr>
            <w:tcW w:w="114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皮山县交通运输局2023年没有使用政府性基金预算拨款安排的支出，政府性基金预算支出情况表为空表。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68"/>
        <w:gridCol w:w="2110"/>
        <w:gridCol w:w="756"/>
        <w:gridCol w:w="401"/>
        <w:gridCol w:w="402"/>
        <w:gridCol w:w="47"/>
        <w:gridCol w:w="1257"/>
        <w:gridCol w:w="125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5"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2965"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3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96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11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06"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5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1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803" w:type="dxa"/>
            <w:gridSpan w:val="2"/>
            <w:vMerge w:val="continue"/>
          </w:tcPr>
          <w:p/>
        </w:tc>
        <w:tc>
          <w:tcPr>
            <w:tcW w:w="47" w:type="dxa"/>
            <w:vMerge w:val="continue"/>
          </w:tcPr>
          <w:p/>
        </w:tc>
        <w:tc>
          <w:tcPr>
            <w:tcW w:w="1257" w:type="dxa"/>
            <w:vMerge w:val="continue"/>
          </w:tcPr>
          <w:p/>
        </w:tc>
        <w:tc>
          <w:tcPr>
            <w:tcW w:w="125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Pr>
          <w:p/>
        </w:tc>
        <w:tc>
          <w:tcPr>
            <w:tcW w:w="2110" w:type="dxa"/>
          </w:tcPr>
          <w:p/>
        </w:tc>
        <w:tc>
          <w:tcPr>
            <w:tcW w:w="756" w:type="dxa"/>
          </w:tcPr>
          <w:p/>
        </w:tc>
        <w:tc>
          <w:tcPr>
            <w:tcW w:w="803" w:type="dxa"/>
            <w:gridSpan w:val="2"/>
          </w:tcPr>
          <w:p/>
        </w:tc>
        <w:tc>
          <w:tcPr>
            <w:tcW w:w="47" w:type="dxa"/>
          </w:tcPr>
          <w:p/>
        </w:tc>
        <w:tc>
          <w:tcPr>
            <w:tcW w:w="1257" w:type="dxa"/>
          </w:tcPr>
          <w:p/>
        </w:tc>
        <w:tc>
          <w:tcPr>
            <w:tcW w:w="125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Pr>
          <w:p/>
        </w:tc>
        <w:tc>
          <w:tcPr>
            <w:tcW w:w="2110" w:type="dxa"/>
          </w:tcPr>
          <w:p/>
        </w:tc>
        <w:tc>
          <w:tcPr>
            <w:tcW w:w="756" w:type="dxa"/>
          </w:tcPr>
          <w:p/>
        </w:tc>
        <w:tc>
          <w:tcPr>
            <w:tcW w:w="803" w:type="dxa"/>
            <w:gridSpan w:val="2"/>
          </w:tcPr>
          <w:p/>
        </w:tc>
        <w:tc>
          <w:tcPr>
            <w:tcW w:w="47" w:type="dxa"/>
          </w:tcPr>
          <w:p/>
        </w:tc>
        <w:tc>
          <w:tcPr>
            <w:tcW w:w="1257" w:type="dxa"/>
          </w:tcPr>
          <w:p/>
        </w:tc>
        <w:tc>
          <w:tcPr>
            <w:tcW w:w="125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Pr>
          <w:p/>
        </w:tc>
        <w:tc>
          <w:tcPr>
            <w:tcW w:w="2110" w:type="dxa"/>
          </w:tcPr>
          <w:p/>
        </w:tc>
        <w:tc>
          <w:tcPr>
            <w:tcW w:w="756" w:type="dxa"/>
          </w:tcPr>
          <w:p/>
        </w:tc>
        <w:tc>
          <w:tcPr>
            <w:tcW w:w="803" w:type="dxa"/>
            <w:gridSpan w:val="2"/>
          </w:tcPr>
          <w:p/>
        </w:tc>
        <w:tc>
          <w:tcPr>
            <w:tcW w:w="47" w:type="dxa"/>
          </w:tcPr>
          <w:p/>
        </w:tc>
        <w:tc>
          <w:tcPr>
            <w:tcW w:w="1257" w:type="dxa"/>
          </w:tcPr>
          <w:p/>
        </w:tc>
        <w:tc>
          <w:tcPr>
            <w:tcW w:w="125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Pr>
          <w:p/>
        </w:tc>
        <w:tc>
          <w:tcPr>
            <w:tcW w:w="2110" w:type="dxa"/>
          </w:tcPr>
          <w:p/>
        </w:tc>
        <w:tc>
          <w:tcPr>
            <w:tcW w:w="756" w:type="dxa"/>
          </w:tcPr>
          <w:p/>
        </w:tc>
        <w:tc>
          <w:tcPr>
            <w:tcW w:w="803" w:type="dxa"/>
            <w:gridSpan w:val="2"/>
          </w:tcPr>
          <w:p/>
        </w:tc>
        <w:tc>
          <w:tcPr>
            <w:tcW w:w="47" w:type="dxa"/>
          </w:tcPr>
          <w:p/>
        </w:tc>
        <w:tc>
          <w:tcPr>
            <w:tcW w:w="1257" w:type="dxa"/>
          </w:tcPr>
          <w:p/>
        </w:tc>
        <w:tc>
          <w:tcPr>
            <w:tcW w:w="125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68" w:type="dxa"/>
          </w:tcPr>
          <w:p/>
        </w:tc>
        <w:tc>
          <w:tcPr>
            <w:tcW w:w="2110" w:type="dxa"/>
          </w:tcPr>
          <w:p/>
        </w:tc>
        <w:tc>
          <w:tcPr>
            <w:tcW w:w="756" w:type="dxa"/>
          </w:tcPr>
          <w:p/>
        </w:tc>
        <w:tc>
          <w:tcPr>
            <w:tcW w:w="803" w:type="dxa"/>
            <w:gridSpan w:val="2"/>
          </w:tcPr>
          <w:p/>
        </w:tc>
        <w:tc>
          <w:tcPr>
            <w:tcW w:w="47" w:type="dxa"/>
          </w:tcPr>
          <w:p/>
        </w:tc>
        <w:tc>
          <w:tcPr>
            <w:tcW w:w="1257" w:type="dxa"/>
          </w:tcPr>
          <w:p/>
        </w:tc>
        <w:tc>
          <w:tcPr>
            <w:tcW w:w="1259"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皮山县交通运输局2023年没有安排国有资本经营预算的支出，国有资本经营预算支出情况表为空表。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769"/>
        <w:gridCol w:w="465"/>
        <w:gridCol w:w="659"/>
        <w:gridCol w:w="659"/>
        <w:gridCol w:w="1104"/>
        <w:gridCol w:w="174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93"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：皮山县交通运输局</w:t>
            </w:r>
          </w:p>
        </w:tc>
        <w:tc>
          <w:tcPr>
            <w:tcW w:w="350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87"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vMerge w:val="continue"/>
          </w:tcPr>
          <w:p/>
        </w:tc>
        <w:tc>
          <w:tcPr>
            <w:tcW w:w="465" w:type="dxa"/>
            <w:vMerge w:val="continue"/>
          </w:tcPr>
          <w:p/>
        </w:tc>
        <w:tc>
          <w:tcPr>
            <w:tcW w:w="131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31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1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1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31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1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31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12.00</w:t>
            </w:r>
          </w:p>
        </w:tc>
        <w:tc>
          <w:tcPr>
            <w:tcW w:w="11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744"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2023年皮山县交通运输局预算情况说明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一、关于皮山县交通运输局2023年收支预算情况的总体说明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按照全口径预算的原则，皮山县交通运输局2023年所有收入和支出均纳入</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预算管理。收支总预算8627.82万元。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支出预算包括：社会保障和就业支出、节能环保支出、农林水支出、交通运输支出、其他支出。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二、关于皮山县交通运输局2023年收入预算情况说明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皮山县交通运输局收入预算8627.82万元，其中：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一般公共预算347.51万元，占4.03%，比上年预算减少440.28万元，下降55.89%，主要原因是2023年安排的</w:t>
      </w:r>
      <w:r>
        <w:rPr>
          <w:rFonts w:hint="eastAsia" w:ascii="仿宋" w:hAnsi="仿宋" w:eastAsia="仿宋" w:cs="仿宋"/>
          <w:position w:val="10"/>
          <w:sz w:val="32"/>
          <w:szCs w:val="32"/>
        </w:rPr>
        <w:t>皮山县科克铁热克乡托普买里村，科克铁热克村，博斯坦村，多兰买里村，欧迪央村道路窄路拓宽建设项目</w:t>
      </w:r>
      <w:r>
        <w:rPr>
          <w:rFonts w:ascii="仿宋" w:hAnsi="仿宋" w:eastAsia="仿宋" w:cs="仿宋"/>
          <w:position w:val="10"/>
          <w:sz w:val="32"/>
          <w:szCs w:val="32"/>
        </w:rPr>
        <w:t>项 目资金少。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highlight w:val="yellow"/>
          <w:lang w:eastAsia="zh-CN"/>
        </w:rPr>
      </w:pPr>
      <w:r>
        <w:rPr>
          <w:rFonts w:ascii="仿宋" w:hAnsi="仿宋" w:eastAsia="仿宋" w:cs="仿宋"/>
          <w:position w:val="10"/>
          <w:sz w:val="32"/>
          <w:szCs w:val="32"/>
        </w:rPr>
        <w:t>上级一般公共预算安排的转移支付资金2050.39万元，占23.76%，比上年预算增加2050.39万元，增长100.00%</w:t>
      </w:r>
      <w:r>
        <w:rPr>
          <w:rFonts w:hint="eastAsia" w:ascii="仿宋" w:hAnsi="仿宋" w:eastAsia="仿宋" w:cs="仿宋"/>
          <w:position w:val="10"/>
          <w:sz w:val="32"/>
          <w:szCs w:val="32"/>
        </w:rPr>
        <w:t>，主要原因是</w:t>
      </w:r>
      <w:r>
        <w:rPr>
          <w:rFonts w:hint="eastAsia" w:ascii="仿宋" w:hAnsi="仿宋" w:eastAsia="仿宋" w:cs="仿宋"/>
          <w:position w:val="10"/>
          <w:sz w:val="32"/>
          <w:szCs w:val="32"/>
          <w:lang w:val="en-US" w:eastAsia="zh-CN"/>
        </w:rPr>
        <w:t>上年未安排上级一般公共预算安排的转移支付，本年增加</w:t>
      </w:r>
      <w:r>
        <w:rPr>
          <w:rFonts w:hint="eastAsia" w:ascii="仿宋" w:hAnsi="仿宋" w:eastAsia="仿宋" w:cs="仿宋"/>
          <w:position w:val="10"/>
          <w:sz w:val="32"/>
          <w:szCs w:val="32"/>
        </w:rPr>
        <w:t>皮山县2023年木奎拉乡农田建设--道路工程项目</w:t>
      </w:r>
      <w:r>
        <w:rPr>
          <w:rFonts w:hint="eastAsia" w:ascii="仿宋" w:hAnsi="仿宋" w:eastAsia="仿宋" w:cs="仿宋"/>
          <w:position w:val="10"/>
          <w:sz w:val="32"/>
          <w:szCs w:val="32"/>
          <w:lang w:eastAsia="zh-CN"/>
        </w:rPr>
        <w:t>、皮山县各乡镇乡村振兴示范村道路建设项目。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财政拨款结转6229.92万元，占72.21%，比上年预算增加6229.92万元，增长100.00%，主要原因是</w:t>
      </w:r>
      <w:r>
        <w:rPr>
          <w:rFonts w:hint="eastAsia" w:ascii="仿宋" w:hAnsi="仿宋" w:eastAsia="仿宋" w:cs="仿宋"/>
          <w:position w:val="10"/>
          <w:sz w:val="32"/>
          <w:szCs w:val="32"/>
          <w:lang w:val="en-US" w:eastAsia="zh-CN"/>
        </w:rPr>
        <w:t>上年项目</w:t>
      </w:r>
      <w:r>
        <w:rPr>
          <w:rFonts w:ascii="仿宋" w:hAnsi="仿宋" w:eastAsia="仿宋" w:cs="仿宋"/>
          <w:position w:val="10"/>
          <w:sz w:val="32"/>
          <w:szCs w:val="32"/>
        </w:rPr>
        <w:t>没结转 。</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三、关于皮山县交通运输局2023年支出预算情况说明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皮山县交通运输局2023年支出预算8627.82万元，其中：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yellow"/>
        </w:rPr>
      </w:pPr>
      <w:r>
        <w:rPr>
          <w:rFonts w:ascii="仿宋" w:hAnsi="仿宋" w:eastAsia="仿宋" w:cs="仿宋"/>
          <w:position w:val="10"/>
          <w:sz w:val="32"/>
          <w:szCs w:val="32"/>
        </w:rPr>
        <w:t>基本支出347.51万元，占4.03%，比上年预算增加7.72万元，增长2.27%，主要原因是</w:t>
      </w:r>
      <w:r>
        <w:rPr>
          <w:rFonts w:hint="eastAsia" w:ascii="仿宋" w:hAnsi="仿宋" w:eastAsia="仿宋" w:cs="仿宋"/>
          <w:position w:val="10"/>
          <w:sz w:val="32"/>
          <w:szCs w:val="32"/>
          <w:lang w:val="en-US" w:eastAsia="zh-CN"/>
        </w:rPr>
        <w:t>本年住房公积金及社保基数增加因此人员支出增加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yellow"/>
        </w:rPr>
      </w:pPr>
      <w:r>
        <w:rPr>
          <w:rFonts w:ascii="仿宋" w:hAnsi="仿宋" w:eastAsia="仿宋" w:cs="仿宋"/>
          <w:position w:val="10"/>
          <w:sz w:val="32"/>
          <w:szCs w:val="32"/>
        </w:rPr>
        <w:t>项目支出8280.31万元，占95.97%，比上年预算增加7832.31万元，增长1</w:t>
      </w:r>
      <w:r>
        <w:rPr>
          <w:rFonts w:hint="eastAsia" w:ascii="仿宋" w:hAnsi="仿宋" w:eastAsia="仿宋" w:cs="仿宋"/>
          <w:position w:val="10"/>
          <w:sz w:val="32"/>
          <w:szCs w:val="32"/>
          <w:lang w:val="en-US" w:eastAsia="zh-CN"/>
        </w:rPr>
        <w:t>860</w:t>
      </w:r>
      <w:r>
        <w:rPr>
          <w:rFonts w:ascii="仿宋" w:hAnsi="仿宋" w:eastAsia="仿宋" w:cs="仿宋"/>
          <w:position w:val="10"/>
          <w:sz w:val="32"/>
          <w:szCs w:val="32"/>
        </w:rPr>
        <w:t>.28%，主要原因是</w:t>
      </w:r>
      <w:r>
        <w:rPr>
          <w:rFonts w:hint="eastAsia" w:ascii="仿宋" w:hAnsi="仿宋" w:eastAsia="仿宋" w:cs="仿宋"/>
          <w:position w:val="10"/>
          <w:sz w:val="32"/>
          <w:szCs w:val="32"/>
          <w:lang w:val="en-US" w:eastAsia="zh-CN"/>
        </w:rPr>
        <w:t>本年增加</w:t>
      </w:r>
      <w:r>
        <w:rPr>
          <w:rFonts w:hint="eastAsia" w:ascii="仿宋" w:hAnsi="仿宋" w:eastAsia="仿宋" w:cs="仿宋"/>
          <w:position w:val="10"/>
          <w:sz w:val="32"/>
          <w:szCs w:val="32"/>
        </w:rPr>
        <w:t>皮山县2023年木奎拉乡农田建设--道路工程项目</w:t>
      </w:r>
      <w:r>
        <w:rPr>
          <w:rFonts w:hint="eastAsia" w:ascii="仿宋" w:hAnsi="仿宋" w:eastAsia="仿宋" w:cs="仿宋"/>
          <w:position w:val="10"/>
          <w:sz w:val="32"/>
          <w:szCs w:val="32"/>
          <w:lang w:eastAsia="zh-CN"/>
        </w:rPr>
        <w:t>、皮山县各乡镇乡村振兴示范村道路建设项目。</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四、关于皮山县交通运输局2023年财政拨款收支预算情况的总体说明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2023年财政拨款收支总预算2397.9万元。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收入预算包括：一般公共预算拨款2397.9万元。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一般公共预算支出包括：社会保障和就业支出47.36万元，主要用于机关事业单位基本养老保险缴费、职业年 金缴费、医疗费补助、城镇职工基本医疗保险缴费、公 务员医疗补助缴费、其他社会保障缴费。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交通运输支出2350.54万元，主要用于办公经费、公务 用车运行维护费、工资奖金津补贴、离退休费、住房公 积金、工资奖金津补贴。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五、关于皮山县交通运输局2023年一般公共预算当年拨款情况说明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皮山县交通运输局2023年一般公共预算拨款合计2397.90万元，其中：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基本支出347.51万元，比上年预算增加7.72万元，增长2.27%。主要原因是：今年预算安排的基本支出 预算数多。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项目支出2050.39万元，比上年预算增加1602.39万元，增长357.68%。主要原因是：2023年预算安排的项目资金多。</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1.社会保障和就业支出（类）47.36万元，占1.98%。</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2.交通运输支出（类）2350.54万元，占98.02%。</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1.社会保障和就业支出（类）行政事业单位养老支出（款）机关事业单位基本养老保险缴费支出（项）:2023年预算数为31.57万元，比上年预算数增加1.44万元，增长4.78%，主要原因是：调整养老保险</w:t>
      </w:r>
      <w:r>
        <w:rPr>
          <w:rFonts w:hint="eastAsia" w:ascii="仿宋" w:hAnsi="仿宋" w:eastAsia="仿宋" w:cs="仿宋"/>
          <w:position w:val="10"/>
          <w:sz w:val="32"/>
          <w:szCs w:val="32"/>
          <w:lang w:val="en-US" w:eastAsia="zh-CN"/>
        </w:rPr>
        <w:t>缴费基数</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2.社会保障和就业支出（类）行政事业单位养老支出（款）机关事业单位职业年金缴费支出（项）:2023年预算数为15.79万元，比上年预算数增加0.72万元，增长4.78%，主要原因是：调整职业年金</w:t>
      </w:r>
      <w:r>
        <w:rPr>
          <w:rFonts w:hint="eastAsia" w:ascii="仿宋" w:hAnsi="仿宋" w:eastAsia="仿宋" w:cs="仿宋"/>
          <w:position w:val="10"/>
          <w:sz w:val="32"/>
          <w:szCs w:val="32"/>
          <w:lang w:val="en-US" w:eastAsia="zh-CN"/>
        </w:rPr>
        <w:t>缴费基数</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3.交通运输支出（类）公路水路运输（款）行政运行（项）:2023年预算数为300.15万元，比上年预算数减少30.44万元，下降9.21%，主要原因是：农村公路建设项目减少。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4.交通运输支出（类）公路水路运输（款）公路养护（项）:2023年预算数为700.39万元，比上年预算数增加288.39万元，增长70.00%，主要原因是：</w:t>
      </w:r>
      <w:r>
        <w:rPr>
          <w:rFonts w:hint="eastAsia" w:ascii="仿宋" w:hAnsi="仿宋" w:eastAsia="仿宋" w:cs="仿宋"/>
          <w:position w:val="10"/>
          <w:sz w:val="32"/>
          <w:szCs w:val="32"/>
          <w:lang w:eastAsia="zh-CN"/>
        </w:rPr>
        <w:t>本年</w:t>
      </w:r>
      <w:r>
        <w:rPr>
          <w:rFonts w:hint="eastAsia" w:ascii="仿宋" w:hAnsi="仿宋" w:eastAsia="仿宋" w:cs="仿宋"/>
          <w:position w:val="10"/>
          <w:sz w:val="32"/>
          <w:szCs w:val="32"/>
          <w:lang w:val="en-US" w:eastAsia="zh-CN"/>
        </w:rPr>
        <w:t>增加</w:t>
      </w:r>
      <w:r>
        <w:rPr>
          <w:rFonts w:ascii="仿宋" w:hAnsi="仿宋" w:eastAsia="仿宋" w:cs="仿宋"/>
          <w:position w:val="10"/>
          <w:sz w:val="32"/>
          <w:szCs w:val="32"/>
        </w:rPr>
        <w:t>农村公路养护项目资金。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5.交通运输支出（类）车辆购置税支出（款）车辆购置税用于农村公路建设支出（项）:2023年预算数为1350万元，比上年预算数增加1350.00万元，增长100.00%，主要原因是：2022年未安排预算项目，今年安排此项目。</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六、关于皮山县交通运输局2023年一般公共预算基本支出情况说明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皮山县交通运输局2023年一般公共预算基本支出347.51万元，其中：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328.31万元，主要包括：基本工资、津贴补贴、奖金、绩效工资、机关事业单位基本养老保险缴费、职业年金缴费、城镇职工基本医疗保险缴费、其他社会保障缴费、住房公积金、其他工资福利支出、取暖费、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公用经费19.2万元，主要包括：办公费、公务用车运行维护费。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七、关于皮山县交通运输局2023年一般公共预算项目支出情况说明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1.项目名称：2023年中央对地方成品油税费改革转移支付预算。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设立的政策依据：和地财建</w:t>
      </w:r>
      <w:r>
        <w:rPr>
          <w:rFonts w:hint="eastAsia" w:ascii="仿宋" w:hAnsi="仿宋" w:eastAsia="仿宋" w:cs="仿宋"/>
          <w:position w:val="10"/>
          <w:sz w:val="32"/>
          <w:szCs w:val="32"/>
          <w:lang w:eastAsia="zh-CN"/>
        </w:rPr>
        <w:t>〔2022〕107号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预算安排规模：412万元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项目承担单位：皮山县交通运输局。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资金分配情况：2023年中央对地方成品油税费改革转移支付预算412万元。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资金执行时间：2023年6月30日</w:t>
      </w:r>
      <w:r>
        <w:rPr>
          <w:rFonts w:hint="eastAsia" w:ascii="仿宋" w:hAnsi="仿宋" w:eastAsia="仿宋" w:cs="仿宋"/>
          <w:position w:val="10"/>
          <w:sz w:val="32"/>
          <w:szCs w:val="32"/>
          <w:lang w:eastAsia="zh-CN"/>
        </w:rPr>
        <w:t>之前</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2.项目名称：2023年政府还贷二级公路取消收费后补助资金用于国省干线和农村公路养护资金。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设立的政策依据：和地财建</w:t>
      </w:r>
      <w:r>
        <w:rPr>
          <w:rFonts w:hint="eastAsia" w:ascii="仿宋" w:hAnsi="仿宋" w:eastAsia="仿宋" w:cs="仿宋"/>
          <w:position w:val="10"/>
          <w:sz w:val="32"/>
          <w:szCs w:val="32"/>
          <w:lang w:eastAsia="zh-CN"/>
        </w:rPr>
        <w:t>〔2022〕99号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预算安排规模：288.39万元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项目承担单位：皮山县交通运输局。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资金分配情况：2023年政府还贷二级公路取消收费后补助资金用于国省干线和农村公路养护资金288.39万元。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资金执行时间：2023年6月30日</w:t>
      </w:r>
      <w:r>
        <w:rPr>
          <w:rFonts w:hint="eastAsia" w:ascii="仿宋" w:hAnsi="仿宋" w:eastAsia="仿宋" w:cs="仿宋"/>
          <w:position w:val="10"/>
          <w:sz w:val="32"/>
          <w:szCs w:val="32"/>
          <w:lang w:eastAsia="zh-CN"/>
        </w:rPr>
        <w:t>之前</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3.项目名称：2023年车辆购置税收入补助地方资金预算【第一批】普通省道和农村公路以奖代补切块部分。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设立的政策依据：和地财建</w:t>
      </w:r>
      <w:r>
        <w:rPr>
          <w:rFonts w:hint="eastAsia" w:ascii="仿宋" w:hAnsi="仿宋" w:eastAsia="仿宋" w:cs="仿宋"/>
          <w:position w:val="10"/>
          <w:sz w:val="32"/>
          <w:szCs w:val="32"/>
          <w:lang w:eastAsia="zh-CN"/>
        </w:rPr>
        <w:t>〔2022〕108号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预算安排规模：1350万元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项目承担单位：皮山县交通运输局。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资金分配情况：2023年车辆购置税收入补助地方资金预算【第一批】普通省道和农村公路以奖代补切块部分1350万元。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资金执行时间：2023年6月30日</w:t>
      </w:r>
      <w:r>
        <w:rPr>
          <w:rFonts w:hint="eastAsia" w:ascii="仿宋" w:hAnsi="仿宋" w:eastAsia="仿宋" w:cs="仿宋"/>
          <w:position w:val="10"/>
          <w:sz w:val="32"/>
          <w:szCs w:val="32"/>
          <w:lang w:eastAsia="zh-CN"/>
        </w:rPr>
        <w:t>之前</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八、关于皮山县交通运输局2023年政府性基金预算拨款情况说明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九、关于皮山县交通运输局2023年国有资本经营预算拨款情况说明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十、关于皮山县交通运输局2023年财政拨款“三公”经费预算情况说明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皮山县交通运输局2023年财政拨款“三公”经费数为12万元，其中：因公出国（境）费0万元，公务用车购置费0万元，公务用车运行费12万元，公务接待费0万元。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未安排因公出国(境)费。公务用车购置费增加0万元，增长0%，主要原因是未安排公务用车购置费。公务用车运行费增加0万元，增长0%，主要原因是节约开支，加强了公务用车管理和维护。公务接待费增加0万元，增长0%，主要原因是未安排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2023年，皮山县交通运输局本级及下属0家行政单位和0家事业单位的机关运行经费财政拨款预算19.2万元，比上年预算增加0万元，增长0%。主要原因是今年预算安排的事业单位机关运行经费不变。</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2023年，皮山县交通运输局政府采购预算0万元，其中：政府采购货物预算0万元，政府采购工程预算0万元，政府采购服务预算0万元。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截至2022年底，皮山县交通运输局及下属各预算单位占用使用国有资产总体情况为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2.车辆2辆，价值53.44万元；其中：一般公务用车1辆，价值45.24万元；执法执勤用车0辆，价值0万元；其他车辆1辆，价值8.2万元。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3.办公家具价值5.56万元。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4.其他资产价值17.92万元。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2023年，本年度预算绩效管理的财政拨款项目3个，涉及预算金额2050.39万元；非财政拨款项目0个，涉及预算金额0万元。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tbl>
      <w:tblPr>
        <w:tblStyle w:val="3"/>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皮山县交通运输局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皮山县2023年度农村公路养护工程</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凯赛尔•斯力木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412</w:t>
            </w:r>
          </w:p>
        </w:tc>
        <w:tc>
          <w:tcPr>
            <w:tcW w:w="1571" w:type="dxa"/>
            <w:tcBorders>
              <w:top w:val="single" w:color="000000" w:sz="4" w:space="0"/>
              <w:left w:val="nil"/>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412</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进一步把农村公路建好，管好，护好，运营好，逐步消除制约农村发展的交通瓶颈，为扩大农民脱贫致富奔小康提供更好的保障。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项目实施里程（公里）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≥50km</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default" w:ascii="宋体" w:hAnsi="宋体" w:eastAsia="宋体" w:cs="宋体"/>
                <w:i w:val="0"/>
                <w:iCs w:val="0"/>
                <w:color w:val="000000"/>
                <w:sz w:val="18"/>
                <w:szCs w:val="18"/>
                <w:highlight w:val="none"/>
                <w:u w:val="none"/>
                <w:lang w:val="en-US" w:eastAsia="zh-CN"/>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养护工程合格率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项目完成及时率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仿宋" w:hAnsi="仿宋" w:eastAsia="仿宋" w:cs="仿宋"/>
                <w:position w:val="8"/>
                <w:sz w:val="20"/>
                <w:lang w:val="en-US" w:eastAsia="zh-CN"/>
              </w:rPr>
              <w:t>100</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按期完成投资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412</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left"/>
              <w:rPr>
                <w:rFonts w:hint="eastAsia" w:ascii="Times New Roman" w:hAnsi="Times New Roman" w:eastAsia="宋体" w:cs="Times New Roman"/>
                <w:kern w:val="2"/>
                <w:sz w:val="21"/>
                <w:szCs w:val="24"/>
                <w:lang w:val="en-US" w:eastAsia="zh-CN" w:bidi="ar-SA"/>
              </w:rPr>
            </w:pPr>
          </w:p>
        </w:tc>
        <w:tc>
          <w:tcPr>
            <w:tcW w:w="93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对经济发展的促进作用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明显提升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提升公路的使用寿命，适应未来一定时间期内交通需求</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明显</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改善通行服务水平群众满意率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3"/>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皮山县交通运输局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皮山县2023年政府还贷二级公路取消收费后补助资金用于农村公路养护项目</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凯赛尔•斯力木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288.39</w:t>
            </w:r>
          </w:p>
        </w:tc>
        <w:tc>
          <w:tcPr>
            <w:tcW w:w="1571" w:type="dxa"/>
            <w:tcBorders>
              <w:top w:val="single" w:color="000000" w:sz="4" w:space="0"/>
              <w:left w:val="nil"/>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288.39</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完成农村公路大中修工程13.5公里，修建桥梁1座，不断提高农村公路管养水平，确保实现“有路必养，养必到位”的管养目标，推动“四好农村路”建设高质量发展。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项目实施里程（公里）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≥13.5km</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养护工程合格率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项目完成及时率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default" w:ascii="宋体" w:hAnsi="宋体" w:eastAsia="宋体" w:cs="宋体"/>
                <w:i w:val="0"/>
                <w:iCs w:val="0"/>
                <w:color w:val="000000"/>
                <w:kern w:val="0"/>
                <w:sz w:val="18"/>
                <w:szCs w:val="18"/>
                <w:highlight w:val="none"/>
                <w:u w:val="none"/>
                <w:lang w:val="en-US" w:eastAsia="zh-CN" w:bidi="ar"/>
              </w:rPr>
            </w:pPr>
            <w:r>
              <w:rPr>
                <w:rFonts w:hint="eastAsia" w:ascii="仿宋" w:hAnsi="仿宋" w:eastAsia="仿宋" w:cs="仿宋"/>
                <w:position w:val="8"/>
                <w:sz w:val="20"/>
                <w:lang w:val="en-US" w:eastAsia="zh-CN"/>
              </w:rPr>
              <w:t>100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按期完成投资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≤288.39万元</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对经济发展的促进作用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明显提升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提升公路的使用寿命，适应未来一定时间期内交通需求</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明显</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改善通行服务水平群众满意率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＞99%</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3"/>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皮山县交通运输局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皮山县阔什塔格镇苏勒尕孜村-布琼村旅游道路建设项目</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凯赛尔•斯力木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4000</w:t>
            </w:r>
          </w:p>
        </w:tc>
        <w:tc>
          <w:tcPr>
            <w:tcW w:w="1571" w:type="dxa"/>
            <w:tcBorders>
              <w:top w:val="single" w:color="000000" w:sz="4" w:space="0"/>
              <w:left w:val="nil"/>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650</w:t>
            </w:r>
          </w:p>
        </w:tc>
        <w:tc>
          <w:tcPr>
            <w:tcW w:w="9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建设里程为18.9公里，四级公路，路基，路面，构造物，安全设施等工程量，提高运输等级，加快推进项目区乡村振兴建设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项目实施里程（公里）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w:t>
            </w:r>
            <w:r>
              <w:rPr>
                <w:rFonts w:hint="eastAsia" w:ascii="宋体" w:hAnsi="宋体" w:cs="宋体"/>
                <w:i w:val="0"/>
                <w:iCs w:val="0"/>
                <w:color w:val="000000"/>
                <w:kern w:val="0"/>
                <w:sz w:val="18"/>
                <w:szCs w:val="18"/>
                <w:highlight w:val="none"/>
                <w:u w:val="none"/>
                <w:lang w:val="en-US" w:eastAsia="zh-CN" w:bidi="ar"/>
              </w:rPr>
              <w:t>18.9</w:t>
            </w:r>
            <w:r>
              <w:rPr>
                <w:rFonts w:hint="eastAsia" w:ascii="宋体" w:hAnsi="宋体" w:eastAsia="宋体" w:cs="宋体"/>
                <w:i w:val="0"/>
                <w:iCs w:val="0"/>
                <w:color w:val="000000"/>
                <w:kern w:val="0"/>
                <w:sz w:val="18"/>
                <w:szCs w:val="18"/>
                <w:highlight w:val="none"/>
                <w:u w:val="none"/>
                <w:lang w:val="en-US" w:eastAsia="zh-CN" w:bidi="ar"/>
              </w:rPr>
              <w:t>km</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养护工程合格率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项目完成及时率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left="30" w:leftChars="0"/>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仿宋" w:hAnsi="仿宋" w:eastAsia="仿宋" w:cs="仿宋"/>
                <w:position w:val="8"/>
                <w:sz w:val="20"/>
                <w:lang w:val="en-US" w:eastAsia="zh-CN"/>
              </w:rPr>
              <w:t>100</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按期完成投资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≤4000万元</w:t>
            </w: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5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对经济发展的促进作用</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明显提升</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提升公路的使用寿命，适应未来一定时间期内交通需求</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明显</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4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改善通行服务水平群众满意率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＞99%</w:t>
            </w:r>
          </w:p>
        </w:tc>
        <w:tc>
          <w:tcPr>
            <w:tcW w:w="1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20"/>
                <w:szCs w:val="20"/>
                <w:u w:val="none"/>
                <w:lang w:val="en-US" w:eastAsia="zh-CN"/>
              </w:rPr>
              <w:t>《皮山县交通运输局2023年工作计划》</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pPr>
        <w:sectPr>
          <w:cols w:space="720" w:num="1"/>
        </w:sectPr>
      </w:pPr>
      <w:r>
        <w:rPr>
          <w:sz w:val="32"/>
          <w:szCs w:val="32"/>
        </w:rPr>
        <w:br w:type="textWrapping"/>
      </w:r>
    </w:p>
    <w:p>
      <w:pPr>
        <w:ind w:left="200" w:right="200"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rPr>
          <w:sz w:val="32"/>
          <w:szCs w:val="32"/>
        </w:rPr>
      </w:pPr>
      <w:r>
        <w:rPr>
          <w:rFonts w:ascii="仿宋" w:hAnsi="仿宋" w:eastAsia="仿宋" w:cs="仿宋"/>
          <w:position w:val="10"/>
          <w:sz w:val="32"/>
          <w:szCs w:val="32"/>
        </w:rPr>
        <w:t>皮山县交通运输局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sz w:val="32"/>
          <w:szCs w:val="32"/>
        </w:rPr>
      </w:pPr>
      <w:r>
        <w:rPr>
          <w:rFonts w:ascii="仿宋" w:hAnsi="仿宋" w:eastAsia="仿宋" w:cs="仿宋"/>
          <w:position w:val="10"/>
          <w:sz w:val="32"/>
          <w:szCs w:val="32"/>
        </w:rPr>
        <w:t>2023年</w:t>
      </w:r>
      <w:bookmarkStart w:id="0" w:name="_GoBack"/>
      <w:bookmarkEnd w:id="0"/>
      <w:r>
        <w:rPr>
          <w:rFonts w:ascii="仿宋" w:hAnsi="仿宋" w:eastAsia="仿宋" w:cs="仿宋"/>
          <w:position w:val="10"/>
          <w:sz w:val="32"/>
          <w:szCs w:val="32"/>
        </w:rPr>
        <w:t>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94BE0"/>
    <w:rsid w:val="05D830A9"/>
    <w:rsid w:val="066F502F"/>
    <w:rsid w:val="094402F6"/>
    <w:rsid w:val="0DD23024"/>
    <w:rsid w:val="124C5EC3"/>
    <w:rsid w:val="12E629B2"/>
    <w:rsid w:val="130E115E"/>
    <w:rsid w:val="16F44240"/>
    <w:rsid w:val="1F1779D7"/>
    <w:rsid w:val="242C28FA"/>
    <w:rsid w:val="24AD2DC7"/>
    <w:rsid w:val="25303758"/>
    <w:rsid w:val="35872F8C"/>
    <w:rsid w:val="39477622"/>
    <w:rsid w:val="3C5A13DE"/>
    <w:rsid w:val="3E815385"/>
    <w:rsid w:val="3FBC2076"/>
    <w:rsid w:val="3FD03F35"/>
    <w:rsid w:val="56EE2D2C"/>
    <w:rsid w:val="5C121A5C"/>
    <w:rsid w:val="6DF62426"/>
    <w:rsid w:val="729E59F8"/>
    <w:rsid w:val="732C5785"/>
    <w:rsid w:val="7CB66C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2028</Words>
  <Characters>2218</Characters>
  <TotalTime>4</TotalTime>
  <ScaleCrop>false</ScaleCrop>
  <LinksUpToDate>false</LinksUpToDate>
  <CharactersWithSpaces>2351</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2023-04-28T10:14:00Z</dcterms:created>
  <dc:creator>Apache POI</dc:creator>
  <cp:lastModifiedBy>Administrator</cp:lastModifiedBy>
  <dcterms:modified xsi:type="dcterms:W3CDTF">2025-07-23T08:30:54Z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A6BD41D23FD8479EBBE89A961AE10E14_13</vt:lpwstr>
  </property>
  <property fmtid="{D5CDD505-2E9C-101B-9397-08002B2CF9AE}" pid="4" name="KSOTemplateDocerSaveRecord">
    <vt:lpwstr>eyJoZGlkIjoiZmJiYzM4NGMxNTU2MDViMDQzMzBjNGQ5NThlMWYxNDciLCJ1c2VySWQiOiI5NTc2ODg5MzgifQ==</vt:lpwstr>
  </property>
</Properties>
</file>